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DE5117" w:rsidRDefault="00BC0B9F" w:rsidP="00EB573E">
            <w:pPr>
              <w:pStyle w:val="CertHBWhite"/>
            </w:pPr>
            <w:r>
              <w:rPr>
                <w:noProof/>
                <w:lang w:eastAsia="en-AU"/>
              </w:rPr>
              <mc:AlternateContent>
                <mc:Choice Requires="wps">
                  <w:drawing>
                    <wp:anchor distT="0" distB="0" distL="114300" distR="114300" simplePos="0" relativeHeight="251657728" behindDoc="0" locked="0" layoutInCell="1" allowOverlap="1" wp14:anchorId="5A846C4A" wp14:editId="253B3950">
                      <wp:simplePos x="0" y="0"/>
                      <wp:positionH relativeFrom="column">
                        <wp:posOffset>-68241</wp:posOffset>
                      </wp:positionH>
                      <wp:positionV relativeFrom="paragraph">
                        <wp:posOffset>1013950</wp:posOffset>
                      </wp:positionV>
                      <wp:extent cx="6572815"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1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EB573E" w:rsidRDefault="00EB573E" w:rsidP="00B87CF6">
                                  <w:pPr>
                                    <w:pStyle w:val="CertHDWhite"/>
                                    <w:rPr>
                                      <w:sz w:val="32"/>
                                      <w:szCs w:val="32"/>
                                    </w:rPr>
                                  </w:pPr>
                                  <w:r w:rsidRPr="00EB573E">
                                    <w:rPr>
                                      <w:sz w:val="32"/>
                                      <w:szCs w:val="32"/>
                                    </w:rPr>
                                    <w:t xml:space="preserve">for plans lodged under Sections 22, 32 and 35 of the </w:t>
                                  </w:r>
                                  <w:r w:rsidRPr="00EB573E">
                                    <w:rPr>
                                      <w:i/>
                                      <w:sz w:val="32"/>
                                      <w:szCs w:val="32"/>
                                    </w:rPr>
                                    <w:t>Subdivision Act 1988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79.85pt;width:517.5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FE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" filled="f" stroked="f">
                      <v:textbox>
                        <w:txbxContent>
                          <w:p w:rsidR="00644C88" w:rsidRPr="00EB573E" w:rsidRDefault="00EB573E" w:rsidP="00B87CF6">
                            <w:pPr>
                              <w:pStyle w:val="CertHDWhite"/>
                              <w:rPr>
                                <w:sz w:val="32"/>
                                <w:szCs w:val="32"/>
                              </w:rPr>
                            </w:pPr>
                            <w:r w:rsidRPr="00EB573E">
                              <w:rPr>
                                <w:sz w:val="32"/>
                                <w:szCs w:val="32"/>
                              </w:rPr>
                              <w:t xml:space="preserve">for plans lodged under Sections 22, 32 and 35 of the </w:t>
                            </w:r>
                            <w:r w:rsidRPr="00EB573E">
                              <w:rPr>
                                <w:i/>
                                <w:sz w:val="32"/>
                                <w:szCs w:val="32"/>
                              </w:rPr>
                              <w:t>Subdivision Act 1988</w:t>
                            </w:r>
                          </w:p>
                        </w:txbxContent>
                      </v:textbox>
                    </v:shape>
                  </w:pict>
                </mc:Fallback>
              </mc:AlternateContent>
            </w:r>
            <w:r w:rsidR="00EB573E">
              <w:t>Non-survey guidelines</w:t>
            </w:r>
            <w:r w:rsidR="0016111E">
              <w:t xml:space="preserve"> </w:t>
            </w:r>
          </w:p>
        </w:tc>
      </w:tr>
    </w:tbl>
    <w:p w:rsidR="001963AD" w:rsidRPr="00D74ABB" w:rsidRDefault="00EB573E" w:rsidP="001963AD">
      <w:pPr>
        <w:pStyle w:val="Pullout"/>
      </w:pPr>
      <w:bookmarkStart w:id="0" w:name="Here"/>
      <w:bookmarkEnd w:id="0"/>
      <w:r w:rsidRPr="00EB573E">
        <w:t>Note: the following information will no</w:t>
      </w:r>
      <w:r w:rsidR="00630E1F">
        <w:t>t</w:t>
      </w:r>
      <w:r w:rsidRPr="00EB573E">
        <w:t xml:space="preserve"> apply to plans signed from 1 July 2016 </w:t>
      </w:r>
      <w:r w:rsidR="00E63FB6">
        <w:t xml:space="preserve">– </w:t>
      </w:r>
      <w:r w:rsidRPr="00EB573E">
        <w:t xml:space="preserve">please see </w:t>
      </w:r>
      <w:r w:rsidRPr="00EB573E">
        <w:rPr>
          <w:i/>
        </w:rPr>
        <w:t>Survey documents required when lodging a plan of subdivision or consolidation</w:t>
      </w:r>
      <w:r w:rsidRPr="00EB573E">
        <w:t>.</w:t>
      </w:r>
      <w:r w:rsidR="005257CB">
        <w:t xml:space="preserve"> The </w:t>
      </w:r>
      <w:r w:rsidR="00CD05F2">
        <w:t>n</w:t>
      </w:r>
      <w:bookmarkStart w:id="1" w:name="_GoBack"/>
      <w:bookmarkEnd w:id="1"/>
      <w:r w:rsidR="005257CB">
        <w:t>on-survey guidelines will be removed from th</w:t>
      </w:r>
      <w:r w:rsidR="00CE1002">
        <w:t>e</w:t>
      </w:r>
      <w:r w:rsidR="005257CB">
        <w:t xml:space="preserve"> website on 1 July 2016. </w:t>
      </w:r>
    </w:p>
    <w:p w:rsidR="00EB573E" w:rsidRPr="00EB573E" w:rsidRDefault="00EB573E" w:rsidP="00EB573E">
      <w:pPr>
        <w:pStyle w:val="Body"/>
        <w:rPr>
          <w:lang w:eastAsia="en-AU"/>
        </w:rPr>
      </w:pPr>
      <w:r w:rsidRPr="00EB573E">
        <w:rPr>
          <w:lang w:eastAsia="en-AU"/>
        </w:rPr>
        <w:t xml:space="preserve">Land </w:t>
      </w:r>
      <w:smartTag w:uri="urn:schemas-microsoft-com:office:smarttags" w:element="State">
        <w:smartTag w:uri="urn:schemas-microsoft-com:office:smarttags" w:element="place">
          <w:r w:rsidRPr="00EB573E">
            <w:rPr>
              <w:lang w:eastAsia="en-AU"/>
            </w:rPr>
            <w:t>Victoria</w:t>
          </w:r>
        </w:smartTag>
      </w:smartTag>
      <w:r w:rsidRPr="00EB573E">
        <w:rPr>
          <w:lang w:eastAsia="en-AU"/>
        </w:rPr>
        <w:t xml:space="preserve"> </w:t>
      </w:r>
      <w:r w:rsidRPr="00EB573E">
        <w:rPr>
          <w:b/>
          <w:lang w:eastAsia="en-AU"/>
        </w:rPr>
        <w:t>may</w:t>
      </w:r>
      <w:r w:rsidRPr="00EB573E">
        <w:rPr>
          <w:lang w:eastAsia="en-AU"/>
        </w:rPr>
        <w:t xml:space="preserve"> accept a plan of subdivision without the production of an abstract of field records, if Non-survey guidelines are satisfied and the respective conditions of each section are met. </w:t>
      </w:r>
    </w:p>
    <w:p w:rsidR="00EB573E" w:rsidRPr="00EB573E" w:rsidRDefault="00EB573E" w:rsidP="00EB573E">
      <w:pPr>
        <w:pStyle w:val="Body"/>
        <w:rPr>
          <w:lang w:eastAsia="en-AU"/>
        </w:rPr>
      </w:pPr>
      <w:r w:rsidRPr="00EB573E">
        <w:rPr>
          <w:lang w:eastAsia="en-AU"/>
        </w:rPr>
        <w:t xml:space="preserve">Before testing against these guidelines, Land Victoria encourages surveyors to consider the ‘downstream’ effects each Non-survey may have. A plan supported by survey improves the product being delivered to Land Victoria, the cadastre and the general community. </w:t>
      </w:r>
    </w:p>
    <w:p w:rsidR="00EB573E" w:rsidRPr="00EB573E" w:rsidRDefault="00EB573E" w:rsidP="00EB573E">
      <w:pPr>
        <w:pStyle w:val="Body"/>
        <w:rPr>
          <w:lang w:eastAsia="en-AU"/>
        </w:rPr>
      </w:pPr>
      <w:r w:rsidRPr="00EB573E">
        <w:rPr>
          <w:lang w:eastAsia="en-AU"/>
        </w:rPr>
        <w:t xml:space="preserve">All Non-survey plans are to be accompanied by a surveyor’s report, setting out the details of how the plan meets Non-survey guidelines. </w:t>
      </w:r>
    </w:p>
    <w:p w:rsidR="00EB573E" w:rsidRPr="00EB573E" w:rsidRDefault="00EB573E" w:rsidP="00EB573E">
      <w:pPr>
        <w:pStyle w:val="Body"/>
        <w:rPr>
          <w:lang w:eastAsia="en-AU"/>
        </w:rPr>
      </w:pPr>
      <w:r w:rsidRPr="00EB573E">
        <w:rPr>
          <w:lang w:eastAsia="en-AU"/>
        </w:rPr>
        <w:t>If pegs are placed in the process of preparing a Non-survey subdivision, surveyors are required to supply the Surveyor-General with a record of having re-established a parcel in accordance with the provisions of Regulation 16 of the Surveying (Cadastral Surveys) Regulations 2005.</w:t>
      </w:r>
    </w:p>
    <w:p w:rsidR="00285A4A" w:rsidRPr="00285A4A" w:rsidRDefault="00EB573E" w:rsidP="00285A4A">
      <w:pPr>
        <w:pStyle w:val="HA"/>
        <w:rPr>
          <w:lang w:eastAsia="en-AU"/>
        </w:rPr>
      </w:pPr>
      <w:r w:rsidRPr="00EB573E">
        <w:rPr>
          <w:lang w:eastAsia="en-AU"/>
        </w:rPr>
        <w:t>General</w:t>
      </w:r>
    </w:p>
    <w:p w:rsidR="00EB573E" w:rsidRDefault="00EB573E" w:rsidP="00EB573E">
      <w:pPr>
        <w:pStyle w:val="Body"/>
        <w:rPr>
          <w:lang w:eastAsia="en-AU"/>
        </w:rPr>
      </w:pPr>
      <w:r>
        <w:rPr>
          <w:lang w:eastAsia="en-AU"/>
        </w:rPr>
        <w:t>The following guidelines are used by Land Victoria when deciding whether a plan of subdivision will be accepted on a Non-survey basis. A number of examples are shown to illustrate the guidelines.</w:t>
      </w:r>
    </w:p>
    <w:p w:rsidR="00285A4A" w:rsidRPr="00285A4A" w:rsidRDefault="00EB573E" w:rsidP="00EB573E">
      <w:pPr>
        <w:pStyle w:val="Body"/>
        <w:rPr>
          <w:lang w:eastAsia="en-AU"/>
        </w:rPr>
      </w:pPr>
      <w:r>
        <w:rPr>
          <w:lang w:eastAsia="en-AU"/>
        </w:rPr>
        <w:t>Even if a proposed subdivision falls within the category acceptable to Land Victoria, a licensed surveyor should not prepare a Non-survey plan if they are aware of circumstances which would make it inadvisable to proceed without survey.  Examples of such circumstances include:</w:t>
      </w:r>
    </w:p>
    <w:p w:rsidR="00EB573E" w:rsidRDefault="00EB573E" w:rsidP="00EB573E">
      <w:pPr>
        <w:pStyle w:val="Bullet"/>
        <w:rPr>
          <w:lang w:eastAsia="en-AU"/>
        </w:rPr>
      </w:pPr>
      <w:r>
        <w:rPr>
          <w:lang w:eastAsia="en-AU"/>
        </w:rPr>
        <w:t>problems identified in other surveys;</w:t>
      </w:r>
    </w:p>
    <w:p w:rsidR="00EB573E" w:rsidRDefault="00EB573E" w:rsidP="00EB573E">
      <w:pPr>
        <w:pStyle w:val="Bullet"/>
        <w:rPr>
          <w:lang w:eastAsia="en-AU"/>
        </w:rPr>
      </w:pPr>
      <w:r>
        <w:rPr>
          <w:lang w:eastAsia="en-AU"/>
        </w:rPr>
        <w:t>fencing out of position with respect to boundaries or connection;</w:t>
      </w:r>
    </w:p>
    <w:p w:rsidR="00EB573E" w:rsidRDefault="00EB573E" w:rsidP="00EB573E">
      <w:pPr>
        <w:pStyle w:val="Bullet"/>
        <w:rPr>
          <w:lang w:eastAsia="en-AU"/>
        </w:rPr>
      </w:pPr>
      <w:r>
        <w:rPr>
          <w:lang w:eastAsia="en-AU"/>
        </w:rPr>
        <w:t>obvious difficulty in the location of boundaries without the placement of survey marks;</w:t>
      </w:r>
    </w:p>
    <w:p w:rsidR="00EB573E" w:rsidRDefault="00EB573E" w:rsidP="00EB573E">
      <w:pPr>
        <w:pStyle w:val="Bullet"/>
        <w:rPr>
          <w:lang w:eastAsia="en-AU"/>
        </w:rPr>
      </w:pPr>
      <w:r>
        <w:rPr>
          <w:lang w:eastAsia="en-AU"/>
        </w:rPr>
        <w:t xml:space="preserve">variations from title position of boundaries abutting streams.  </w:t>
      </w:r>
    </w:p>
    <w:p w:rsidR="00EB573E" w:rsidRDefault="00EB573E" w:rsidP="00EB573E">
      <w:pPr>
        <w:pStyle w:val="Body"/>
        <w:rPr>
          <w:lang w:eastAsia="en-AU"/>
        </w:rPr>
      </w:pPr>
      <w:r>
        <w:rPr>
          <w:lang w:eastAsia="en-AU"/>
        </w:rPr>
        <w:t>If Land Victoria becomes aware of such problems, Non-survey plans of subdivision will not be accepted, even if the proposal falls within the normal guidelines.</w:t>
      </w:r>
    </w:p>
    <w:p w:rsidR="00285A4A" w:rsidRDefault="00EB573E" w:rsidP="00EB573E">
      <w:pPr>
        <w:pStyle w:val="Body"/>
        <w:rPr>
          <w:lang w:eastAsia="en-AU"/>
        </w:rPr>
      </w:pPr>
      <w:r>
        <w:rPr>
          <w:lang w:eastAsia="en-AU"/>
        </w:rPr>
        <w:t>It is not necessary to obtain prior consent to the preparation of a plan of subdivision in a Non-survey form. However, if a licensed surveyor is in doubt as to whether a particular proposal will be accepted without survey, a written enquiry may be directed to the Subdivision Branch at Land Victoria (Level 23, 570 Bourke Street, Melbourne or Subdivision.Branch@delwp.vic.gov.au) for consent to proceed on a Non-survey basis. All relevant information, including the Folio of the Register number and a dimensioned sketch, are to be supplied.</w:t>
      </w:r>
    </w:p>
    <w:p w:rsidR="00EB573E" w:rsidRDefault="00EB573E" w:rsidP="00EB573E">
      <w:pPr>
        <w:pStyle w:val="HA"/>
        <w:rPr>
          <w:lang w:eastAsia="en-AU"/>
        </w:rPr>
      </w:pPr>
      <w:r>
        <w:rPr>
          <w:lang w:eastAsia="en-AU"/>
        </w:rPr>
        <w:t>Guidelines</w:t>
      </w:r>
    </w:p>
    <w:p w:rsidR="00EB573E" w:rsidRPr="00C66256" w:rsidRDefault="00EB573E" w:rsidP="00C66256">
      <w:pPr>
        <w:pStyle w:val="Body"/>
        <w:numPr>
          <w:ilvl w:val="0"/>
          <w:numId w:val="29"/>
        </w:numPr>
      </w:pPr>
      <w:r w:rsidRPr="00C66256">
        <w:t>Subdivisions are restricted to two lots. An exception may be when a simple splay corner (see 11 below) is created in addition to the two lots.</w:t>
      </w:r>
    </w:p>
    <w:p w:rsidR="00EB573E" w:rsidRDefault="00EB573E" w:rsidP="00C66256">
      <w:pPr>
        <w:pStyle w:val="Body"/>
        <w:numPr>
          <w:ilvl w:val="0"/>
          <w:numId w:val="29"/>
        </w:numPr>
      </w:pPr>
      <w:r w:rsidRPr="00C66256">
        <w:t>Re-subdivision of a lot on a Non-survey plan is not usually acceptable. Exceptions may apply, e.g. where small ‘remote’ lots are created, as in the example below.</w:t>
      </w:r>
    </w:p>
    <w:p w:rsidR="002D0794" w:rsidRDefault="002D0794" w:rsidP="002D0794">
      <w:pPr>
        <w:pStyle w:val="Body"/>
      </w:pPr>
      <w:r>
        <w:rPr>
          <w:noProof/>
          <w:lang w:eastAsia="en-AU"/>
        </w:rPr>
        <w:lastRenderedPageBreak/>
        <w:drawing>
          <wp:inline distT="0" distB="0" distL="0" distR="0" wp14:anchorId="68EDB730">
            <wp:extent cx="3454406" cy="1837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4803" cy="1843385"/>
                    </a:xfrm>
                    <a:prstGeom prst="rect">
                      <a:avLst/>
                    </a:prstGeom>
                    <a:noFill/>
                  </pic:spPr>
                </pic:pic>
              </a:graphicData>
            </a:graphic>
          </wp:inline>
        </w:drawing>
      </w:r>
    </w:p>
    <w:p w:rsidR="00EB573E" w:rsidRPr="00C66256" w:rsidRDefault="00EB573E" w:rsidP="00C66256">
      <w:pPr>
        <w:pStyle w:val="Body"/>
        <w:numPr>
          <w:ilvl w:val="0"/>
          <w:numId w:val="29"/>
        </w:numPr>
      </w:pPr>
      <w:r w:rsidRPr="00C66256">
        <w:t>The length of any new boundary should not normally exceed 800 metres.</w:t>
      </w:r>
    </w:p>
    <w:p w:rsidR="00EB573E" w:rsidRDefault="00EB573E" w:rsidP="00C66256">
      <w:pPr>
        <w:pStyle w:val="Body"/>
        <w:numPr>
          <w:ilvl w:val="0"/>
          <w:numId w:val="29"/>
        </w:numPr>
      </w:pPr>
      <w:r w:rsidRPr="00C66256">
        <w:t>New boundaries should be at right angles or parallel to an existing title boundary, as in the following examples.</w:t>
      </w:r>
    </w:p>
    <w:p w:rsidR="00ED254B" w:rsidRDefault="00ED254B" w:rsidP="00ED254B">
      <w:pPr>
        <w:pStyle w:val="Body"/>
      </w:pPr>
      <w:r>
        <w:rPr>
          <w:noProof/>
          <w:lang w:eastAsia="en-AU"/>
        </w:rPr>
        <w:drawing>
          <wp:inline distT="0" distB="0" distL="0" distR="0" wp14:anchorId="599C64F0">
            <wp:extent cx="3242598" cy="940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3126" cy="943463"/>
                    </a:xfrm>
                    <a:prstGeom prst="rect">
                      <a:avLst/>
                    </a:prstGeom>
                    <a:noFill/>
                  </pic:spPr>
                </pic:pic>
              </a:graphicData>
            </a:graphic>
          </wp:inline>
        </w:drawing>
      </w:r>
    </w:p>
    <w:p w:rsidR="00EB573E" w:rsidRPr="00C66256" w:rsidRDefault="00EB573E" w:rsidP="00C66256">
      <w:pPr>
        <w:pStyle w:val="Body"/>
        <w:numPr>
          <w:ilvl w:val="0"/>
          <w:numId w:val="29"/>
        </w:numPr>
      </w:pPr>
      <w:r w:rsidRPr="00C66256">
        <w:t xml:space="preserve">No more than two new boundaries are to be introduced. </w:t>
      </w:r>
    </w:p>
    <w:p w:rsidR="00EB573E" w:rsidRDefault="00EB573E" w:rsidP="00C66256">
      <w:pPr>
        <w:pStyle w:val="Body"/>
        <w:ind w:left="709"/>
        <w:rPr>
          <w:lang w:eastAsia="en-AU"/>
        </w:rPr>
      </w:pPr>
      <w:r>
        <w:rPr>
          <w:lang w:eastAsia="en-AU"/>
        </w:rPr>
        <w:t>Exception may be made where new boundaries accord with previously marked lines (boundary, easement, etc.). Where necessary a copy of the relevant survey information showing evidence of marking should be lodged.</w:t>
      </w:r>
    </w:p>
    <w:p w:rsidR="00EB573E" w:rsidRDefault="00EB573E" w:rsidP="00C66256">
      <w:pPr>
        <w:pStyle w:val="Body"/>
        <w:ind w:left="709"/>
        <w:rPr>
          <w:lang w:eastAsia="en-AU"/>
        </w:rPr>
      </w:pPr>
      <w:r>
        <w:rPr>
          <w:lang w:eastAsia="en-AU"/>
        </w:rPr>
        <w:t>Example of exception:</w:t>
      </w:r>
    </w:p>
    <w:p w:rsidR="00ED254B" w:rsidRDefault="00ED254B" w:rsidP="00ED254B">
      <w:pPr>
        <w:pStyle w:val="Body"/>
        <w:rPr>
          <w:lang w:eastAsia="en-AU"/>
        </w:rPr>
      </w:pPr>
      <w:r>
        <w:rPr>
          <w:noProof/>
          <w:lang w:eastAsia="en-AU"/>
        </w:rPr>
        <w:drawing>
          <wp:inline distT="0" distB="0" distL="0" distR="0" wp14:anchorId="4FADA917" wp14:editId="543CB2D8">
            <wp:extent cx="3231532" cy="1422670"/>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0172" cy="1430876"/>
                    </a:xfrm>
                    <a:prstGeom prst="rect">
                      <a:avLst/>
                    </a:prstGeom>
                    <a:noFill/>
                  </pic:spPr>
                </pic:pic>
              </a:graphicData>
            </a:graphic>
          </wp:inline>
        </w:drawing>
      </w:r>
    </w:p>
    <w:p w:rsidR="00EB573E" w:rsidRDefault="00EB573E" w:rsidP="00C66256">
      <w:pPr>
        <w:pStyle w:val="Body"/>
        <w:numPr>
          <w:ilvl w:val="0"/>
          <w:numId w:val="29"/>
        </w:numPr>
        <w:rPr>
          <w:lang w:eastAsia="en-AU"/>
        </w:rPr>
      </w:pPr>
      <w:r>
        <w:rPr>
          <w:lang w:eastAsia="en-AU"/>
        </w:rPr>
        <w:t>The creation of a new lot with ‘dual’ connection is not acceptable.</w:t>
      </w:r>
    </w:p>
    <w:p w:rsidR="00EB573E" w:rsidRDefault="00EB573E" w:rsidP="00C66256">
      <w:pPr>
        <w:pStyle w:val="Body"/>
        <w:ind w:left="709"/>
        <w:rPr>
          <w:lang w:eastAsia="en-AU"/>
        </w:rPr>
      </w:pPr>
      <w:r>
        <w:rPr>
          <w:lang w:eastAsia="en-AU"/>
        </w:rPr>
        <w:t xml:space="preserve">Example – </w:t>
      </w:r>
      <w:r w:rsidRPr="00ED254B">
        <w:rPr>
          <w:rStyle w:val="Emphasis"/>
          <w:b/>
          <w:i w:val="0"/>
          <w:lang w:eastAsia="en-AU"/>
        </w:rPr>
        <w:t>NOT</w:t>
      </w:r>
      <w:r>
        <w:rPr>
          <w:lang w:eastAsia="en-AU"/>
        </w:rPr>
        <w:t xml:space="preserve"> acceptable:</w:t>
      </w:r>
    </w:p>
    <w:p w:rsidR="00ED254B" w:rsidRDefault="00ED254B" w:rsidP="00C66256">
      <w:pPr>
        <w:pStyle w:val="Body"/>
        <w:ind w:left="709"/>
        <w:rPr>
          <w:lang w:eastAsia="en-AU"/>
        </w:rPr>
      </w:pPr>
      <w:r>
        <w:rPr>
          <w:noProof/>
          <w:lang w:eastAsia="en-AU"/>
        </w:rPr>
        <w:lastRenderedPageBreak/>
        <w:drawing>
          <wp:inline distT="0" distB="0" distL="0" distR="0" wp14:anchorId="37A5D9FE" wp14:editId="70A8B0B9">
            <wp:extent cx="2457444" cy="120134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930" cy="1202559"/>
                    </a:xfrm>
                    <a:prstGeom prst="rect">
                      <a:avLst/>
                    </a:prstGeom>
                    <a:noFill/>
                  </pic:spPr>
                </pic:pic>
              </a:graphicData>
            </a:graphic>
          </wp:inline>
        </w:drawing>
      </w:r>
    </w:p>
    <w:p w:rsidR="00EB573E" w:rsidRDefault="004361BE" w:rsidP="00C66256">
      <w:pPr>
        <w:pStyle w:val="Body"/>
        <w:numPr>
          <w:ilvl w:val="0"/>
          <w:numId w:val="29"/>
        </w:numPr>
        <w:rPr>
          <w:lang w:eastAsia="en-AU"/>
        </w:rPr>
      </w:pPr>
      <w:r>
        <w:rPr>
          <w:lang w:eastAsia="en-AU"/>
        </w:rPr>
        <w:br w:type="column"/>
      </w:r>
      <w:r w:rsidR="00EB573E">
        <w:rPr>
          <w:lang w:eastAsia="en-AU"/>
        </w:rPr>
        <w:lastRenderedPageBreak/>
        <w:t>Joining corners marked in an earlier survey is acceptable, as in the example below.</w:t>
      </w:r>
    </w:p>
    <w:p w:rsidR="00ED254B" w:rsidRDefault="00ED254B" w:rsidP="00ED254B">
      <w:pPr>
        <w:pStyle w:val="Body"/>
        <w:rPr>
          <w:lang w:eastAsia="en-AU"/>
        </w:rPr>
      </w:pPr>
      <w:r>
        <w:rPr>
          <w:noProof/>
          <w:lang w:eastAsia="en-AU"/>
        </w:rPr>
        <w:drawing>
          <wp:inline distT="0" distB="0" distL="0" distR="0" wp14:anchorId="1290A60A" wp14:editId="523E98A3">
            <wp:extent cx="2741050" cy="1497492"/>
            <wp:effectExtent l="0" t="0" r="254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140" cy="1498634"/>
                    </a:xfrm>
                    <a:prstGeom prst="rect">
                      <a:avLst/>
                    </a:prstGeom>
                    <a:noFill/>
                  </pic:spPr>
                </pic:pic>
              </a:graphicData>
            </a:graphic>
          </wp:inline>
        </w:drawing>
      </w:r>
    </w:p>
    <w:p w:rsidR="00EB573E" w:rsidRDefault="00EB573E" w:rsidP="004361BE">
      <w:pPr>
        <w:pStyle w:val="Body"/>
        <w:numPr>
          <w:ilvl w:val="0"/>
          <w:numId w:val="29"/>
        </w:numPr>
        <w:rPr>
          <w:lang w:eastAsia="en-AU"/>
        </w:rPr>
      </w:pPr>
      <w:r>
        <w:rPr>
          <w:lang w:eastAsia="en-AU"/>
        </w:rPr>
        <w:t>A new boundary meeting a curved title boundary is acceptable provided the ‘ordinate’ does not exceed 0.20 metres.</w:t>
      </w:r>
    </w:p>
    <w:p w:rsidR="00EB573E" w:rsidRDefault="00EB573E" w:rsidP="00C66256">
      <w:pPr>
        <w:pStyle w:val="Body"/>
        <w:ind w:left="709"/>
        <w:rPr>
          <w:lang w:eastAsia="en-AU"/>
        </w:rPr>
      </w:pPr>
      <w:r>
        <w:rPr>
          <w:lang w:eastAsia="en-AU"/>
        </w:rPr>
        <w:t>Example:</w:t>
      </w:r>
    </w:p>
    <w:p w:rsidR="00EB573E" w:rsidRDefault="00ED254B" w:rsidP="00EB573E">
      <w:pPr>
        <w:pStyle w:val="Body"/>
        <w:rPr>
          <w:lang w:eastAsia="en-AU"/>
        </w:rPr>
      </w:pPr>
      <w:r>
        <w:rPr>
          <w:noProof/>
          <w:lang w:eastAsia="en-AU"/>
        </w:rPr>
        <w:drawing>
          <wp:inline distT="0" distB="0" distL="0" distR="0" wp14:anchorId="4672783C" wp14:editId="307B7987">
            <wp:extent cx="2734036" cy="17579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6693" cy="1759654"/>
                    </a:xfrm>
                    <a:prstGeom prst="rect">
                      <a:avLst/>
                    </a:prstGeom>
                    <a:noFill/>
                  </pic:spPr>
                </pic:pic>
              </a:graphicData>
            </a:graphic>
          </wp:inline>
        </w:drawing>
      </w:r>
    </w:p>
    <w:p w:rsidR="00EB573E" w:rsidRDefault="00EB573E" w:rsidP="00C66256">
      <w:pPr>
        <w:pStyle w:val="Body"/>
        <w:numPr>
          <w:ilvl w:val="0"/>
          <w:numId w:val="29"/>
        </w:numPr>
        <w:rPr>
          <w:lang w:eastAsia="en-AU"/>
        </w:rPr>
      </w:pPr>
      <w:r>
        <w:rPr>
          <w:lang w:eastAsia="en-AU"/>
        </w:rPr>
        <w:t>A new boundary meeting an irregular boundary is not acceptable.</w:t>
      </w:r>
    </w:p>
    <w:p w:rsidR="00EB573E" w:rsidRDefault="00EB573E" w:rsidP="00C66256">
      <w:pPr>
        <w:pStyle w:val="Body"/>
        <w:ind w:left="709"/>
        <w:rPr>
          <w:lang w:eastAsia="en-AU"/>
        </w:rPr>
      </w:pPr>
      <w:r>
        <w:rPr>
          <w:lang w:eastAsia="en-AU"/>
        </w:rPr>
        <w:t xml:space="preserve">Example – </w:t>
      </w:r>
      <w:r w:rsidRPr="00D319C5">
        <w:rPr>
          <w:b/>
          <w:lang w:eastAsia="en-AU"/>
        </w:rPr>
        <w:t>NOT</w:t>
      </w:r>
      <w:r>
        <w:rPr>
          <w:lang w:eastAsia="en-AU"/>
        </w:rPr>
        <w:t xml:space="preserve"> acceptable.</w:t>
      </w:r>
    </w:p>
    <w:p w:rsidR="00EB573E" w:rsidRDefault="00ED254B" w:rsidP="00EB573E">
      <w:pPr>
        <w:pStyle w:val="Body"/>
        <w:rPr>
          <w:lang w:eastAsia="en-AU"/>
        </w:rPr>
      </w:pPr>
      <w:r>
        <w:rPr>
          <w:noProof/>
          <w:lang w:eastAsia="en-AU"/>
        </w:rPr>
        <w:drawing>
          <wp:inline distT="0" distB="0" distL="0" distR="0" wp14:anchorId="0BF200D2" wp14:editId="5E16246C">
            <wp:extent cx="3005752" cy="1709472"/>
            <wp:effectExtent l="0" t="0" r="444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1944" cy="1707306"/>
                    </a:xfrm>
                    <a:prstGeom prst="rect">
                      <a:avLst/>
                    </a:prstGeom>
                    <a:noFill/>
                  </pic:spPr>
                </pic:pic>
              </a:graphicData>
            </a:graphic>
          </wp:inline>
        </w:drawing>
      </w:r>
      <w:r w:rsidR="00EB573E">
        <w:rPr>
          <w:lang w:eastAsia="en-AU"/>
        </w:rPr>
        <w:t xml:space="preserve"> </w:t>
      </w:r>
    </w:p>
    <w:p w:rsidR="00EB573E" w:rsidRPr="00ED254B" w:rsidRDefault="00EB573E" w:rsidP="00C66256">
      <w:pPr>
        <w:pStyle w:val="Body"/>
        <w:ind w:left="709"/>
        <w:rPr>
          <w:b/>
          <w:lang w:eastAsia="en-AU"/>
        </w:rPr>
      </w:pPr>
      <w:r w:rsidRPr="00ED254B">
        <w:rPr>
          <w:b/>
          <w:lang w:eastAsia="en-AU"/>
        </w:rPr>
        <w:t>NOTE: Where the irregular boundary is not subject to movement, a Non-survey subdivision may be acceptable if satisfactory information in relation to the location of the boundary is available and adequately discussed in the surveyor’s report.</w:t>
      </w:r>
    </w:p>
    <w:p w:rsidR="00EB573E" w:rsidRDefault="00EB573E" w:rsidP="00C66256">
      <w:pPr>
        <w:pStyle w:val="Body"/>
        <w:numPr>
          <w:ilvl w:val="0"/>
          <w:numId w:val="29"/>
        </w:numPr>
        <w:rPr>
          <w:lang w:eastAsia="en-AU"/>
        </w:rPr>
      </w:pPr>
      <w:r>
        <w:rPr>
          <w:lang w:eastAsia="en-AU"/>
        </w:rPr>
        <w:t>The introduction of a party wall easement along a new boundary (whether or not a wall exists) is not acceptable in a Non-survey subdivision.</w:t>
      </w:r>
    </w:p>
    <w:p w:rsidR="00EB573E" w:rsidRDefault="00EB573E" w:rsidP="00C66256">
      <w:pPr>
        <w:pStyle w:val="Body"/>
        <w:numPr>
          <w:ilvl w:val="0"/>
          <w:numId w:val="29"/>
        </w:numPr>
        <w:rPr>
          <w:lang w:eastAsia="en-AU"/>
        </w:rPr>
      </w:pPr>
      <w:r>
        <w:rPr>
          <w:lang w:eastAsia="en-AU"/>
        </w:rPr>
        <w:t xml:space="preserve">The creation of a new road is usually not acceptable. Exceptions may be made where simple splay corners are created by maintaining an equal distance along the existing alignments. </w:t>
      </w:r>
    </w:p>
    <w:p w:rsidR="00EB573E" w:rsidRDefault="00EB573E" w:rsidP="00C66256">
      <w:pPr>
        <w:pStyle w:val="Body"/>
        <w:numPr>
          <w:ilvl w:val="0"/>
          <w:numId w:val="29"/>
        </w:numPr>
        <w:rPr>
          <w:lang w:eastAsia="en-AU"/>
        </w:rPr>
      </w:pPr>
      <w:r>
        <w:rPr>
          <w:lang w:eastAsia="en-AU"/>
        </w:rPr>
        <w:t>Any subdivision of a Folio of the Register with a ‘warning as to dimensions’ must be based on survey.</w:t>
      </w:r>
    </w:p>
    <w:p w:rsidR="00EB573E" w:rsidRDefault="00EB573E" w:rsidP="00C66256">
      <w:pPr>
        <w:pStyle w:val="HA"/>
        <w:rPr>
          <w:lang w:eastAsia="en-AU"/>
        </w:rPr>
      </w:pPr>
      <w:r>
        <w:rPr>
          <w:lang w:eastAsia="en-AU"/>
        </w:rPr>
        <w:t xml:space="preserve">Non-survey guidelines for plans lodged under Section 32 of the </w:t>
      </w:r>
      <w:r w:rsidRPr="000A3A50">
        <w:rPr>
          <w:i/>
          <w:lang w:eastAsia="en-AU"/>
        </w:rPr>
        <w:t>Subdivision Act 1988</w:t>
      </w:r>
    </w:p>
    <w:p w:rsidR="00EB573E" w:rsidRDefault="00EB573E" w:rsidP="00EB573E">
      <w:pPr>
        <w:pStyle w:val="Body"/>
        <w:rPr>
          <w:lang w:eastAsia="en-AU"/>
        </w:rPr>
      </w:pPr>
      <w:r>
        <w:rPr>
          <w:lang w:eastAsia="en-AU"/>
        </w:rPr>
        <w:t>An ‘addendum’ abstract of field records and licensed surveyor’s report will normally be required to support Section 32 plans, especially where a new survey was required to compute or mark new boundaries at ground level.</w:t>
      </w:r>
    </w:p>
    <w:p w:rsidR="00EB573E" w:rsidRDefault="00EB573E" w:rsidP="00EB573E">
      <w:pPr>
        <w:pStyle w:val="Body"/>
        <w:rPr>
          <w:lang w:eastAsia="en-AU"/>
        </w:rPr>
      </w:pPr>
      <w:r>
        <w:rPr>
          <w:lang w:eastAsia="en-AU"/>
        </w:rPr>
        <w:t>However, plans may be accepted without an abstract of field records if the:</w:t>
      </w:r>
    </w:p>
    <w:p w:rsidR="00EB573E" w:rsidRDefault="00EB573E" w:rsidP="00D319C5">
      <w:pPr>
        <w:pStyle w:val="Body"/>
        <w:numPr>
          <w:ilvl w:val="0"/>
          <w:numId w:val="33"/>
        </w:numPr>
        <w:rPr>
          <w:lang w:eastAsia="en-AU"/>
        </w:rPr>
      </w:pPr>
      <w:r>
        <w:rPr>
          <w:lang w:eastAsia="en-AU"/>
        </w:rPr>
        <w:t>original survey was carried out by the same surveyor or survey company within the last five years, and no additional land has been included in the plan, or</w:t>
      </w:r>
    </w:p>
    <w:p w:rsidR="00EB573E" w:rsidRDefault="00EB573E" w:rsidP="00D319C5">
      <w:pPr>
        <w:pStyle w:val="Body"/>
        <w:numPr>
          <w:ilvl w:val="0"/>
          <w:numId w:val="33"/>
        </w:numPr>
        <w:rPr>
          <w:lang w:eastAsia="en-AU"/>
        </w:rPr>
      </w:pPr>
      <w:r>
        <w:rPr>
          <w:lang w:eastAsia="en-AU"/>
        </w:rPr>
        <w:t>new boundaries comply with the current Non-survey guidelines for plans of subdivision lodged under Section 22 of the Subdivision Act 1988, or</w:t>
      </w:r>
    </w:p>
    <w:p w:rsidR="00EB573E" w:rsidRDefault="00EB573E" w:rsidP="00D319C5">
      <w:pPr>
        <w:pStyle w:val="Body"/>
        <w:numPr>
          <w:ilvl w:val="0"/>
          <w:numId w:val="33"/>
        </w:numPr>
        <w:rPr>
          <w:lang w:eastAsia="en-AU"/>
        </w:rPr>
      </w:pPr>
      <w:r>
        <w:rPr>
          <w:lang w:eastAsia="en-AU"/>
        </w:rPr>
        <w:t>new boundaries can be derived from existing information on the plan or abstract of field records without the need for further survey, or</w:t>
      </w:r>
    </w:p>
    <w:p w:rsidR="00EB573E" w:rsidRDefault="00EB573E" w:rsidP="00D319C5">
      <w:pPr>
        <w:pStyle w:val="Body"/>
        <w:numPr>
          <w:ilvl w:val="0"/>
          <w:numId w:val="33"/>
        </w:numPr>
        <w:rPr>
          <w:lang w:eastAsia="en-AU"/>
        </w:rPr>
      </w:pPr>
      <w:r>
        <w:rPr>
          <w:lang w:eastAsia="en-AU"/>
        </w:rPr>
        <w:t>new boundaries are defined by, attached to, or contained within original buildings, and are not required to be marked at ground level.</w:t>
      </w:r>
    </w:p>
    <w:p w:rsidR="00EB573E" w:rsidRDefault="00EB573E" w:rsidP="00EB573E">
      <w:pPr>
        <w:pStyle w:val="Body"/>
        <w:rPr>
          <w:lang w:eastAsia="en-AU"/>
        </w:rPr>
      </w:pPr>
      <w:r>
        <w:rPr>
          <w:lang w:eastAsia="en-AU"/>
        </w:rPr>
        <w:t>In cases where it is doubtful if a plan will be accepted without an abstract of field records, surveyors should contact Land Victoria for advice.  It is possible that an ‘addendum’ surveyor’s report could be supplied, which on its own may adequately satisfy the requirements of Land Victoria.</w:t>
      </w:r>
    </w:p>
    <w:p w:rsidR="00EB573E" w:rsidRDefault="00EB573E" w:rsidP="00EB573E">
      <w:pPr>
        <w:pStyle w:val="Body"/>
        <w:rPr>
          <w:lang w:eastAsia="en-AU"/>
        </w:rPr>
      </w:pPr>
      <w:r>
        <w:rPr>
          <w:lang w:eastAsia="en-AU"/>
        </w:rPr>
        <w:t>Where an ‘addendum’ abstract of field records and licensed surveyor’s report are supplied, they should:</w:t>
      </w:r>
    </w:p>
    <w:p w:rsidR="00EB573E" w:rsidRDefault="00EB573E" w:rsidP="00D319C5">
      <w:pPr>
        <w:pStyle w:val="Body"/>
        <w:numPr>
          <w:ilvl w:val="0"/>
          <w:numId w:val="35"/>
        </w:numPr>
        <w:rPr>
          <w:lang w:eastAsia="en-AU"/>
        </w:rPr>
      </w:pPr>
      <w:r>
        <w:rPr>
          <w:lang w:eastAsia="en-AU"/>
        </w:rPr>
        <w:t>satisfy the Surveying (Cadastral Surveys) Regulations 2005.</w:t>
      </w:r>
    </w:p>
    <w:p w:rsidR="00EB573E" w:rsidRDefault="00EB573E" w:rsidP="00D319C5">
      <w:pPr>
        <w:pStyle w:val="Body"/>
        <w:numPr>
          <w:ilvl w:val="0"/>
          <w:numId w:val="35"/>
        </w:numPr>
        <w:rPr>
          <w:lang w:eastAsia="en-AU"/>
        </w:rPr>
      </w:pPr>
      <w:r>
        <w:rPr>
          <w:lang w:eastAsia="en-AU"/>
        </w:rPr>
        <w:t>re-establish the datum of the original survey.  Partial surveys may be accepted.</w:t>
      </w:r>
    </w:p>
    <w:p w:rsidR="00EB573E" w:rsidRDefault="00EB573E" w:rsidP="00D319C5">
      <w:pPr>
        <w:pStyle w:val="Body"/>
        <w:numPr>
          <w:ilvl w:val="0"/>
          <w:numId w:val="35"/>
        </w:numPr>
        <w:rPr>
          <w:lang w:eastAsia="en-AU"/>
        </w:rPr>
      </w:pPr>
      <w:r>
        <w:rPr>
          <w:lang w:eastAsia="en-AU"/>
        </w:rPr>
        <w:t>retain the bearing datum of the original plan/folio if that datum is not MGA94, i.e. the original plan/folio was not based on a survey that included a connection to marks with MGA94 coordinates.</w:t>
      </w:r>
    </w:p>
    <w:p w:rsidR="00EB573E" w:rsidRDefault="00EB573E" w:rsidP="00EB573E">
      <w:pPr>
        <w:pStyle w:val="Body"/>
        <w:rPr>
          <w:lang w:eastAsia="en-AU"/>
        </w:rPr>
      </w:pPr>
      <w:r>
        <w:rPr>
          <w:lang w:eastAsia="en-AU"/>
        </w:rPr>
        <w:t>If a connection to MGA94 is observed in the new survey, an appropriate notation should be shown on the addendum abstract of field records describing the relationship to MGA94 datum.</w:t>
      </w:r>
    </w:p>
    <w:p w:rsidR="00E661F8" w:rsidRPr="00C95766" w:rsidRDefault="00E661F8" w:rsidP="005F0AD3">
      <w:pPr>
        <w:pStyle w:val="HA"/>
        <w:rPr>
          <w:rFonts w:eastAsia="Calibri"/>
        </w:rPr>
      </w:pPr>
      <w:r w:rsidRPr="00C95766">
        <w:rPr>
          <w:rFonts w:eastAsia="Calibri"/>
        </w:rPr>
        <w:t>Contact us</w:t>
      </w:r>
    </w:p>
    <w:p w:rsidR="00E661F8" w:rsidRDefault="00E661F8" w:rsidP="005F0AD3">
      <w:pPr>
        <w:pStyle w:val="Body"/>
        <w:rPr>
          <w:rFonts w:eastAsia="Calibri"/>
        </w:rPr>
      </w:pPr>
      <w:r w:rsidRPr="00C95766">
        <w:rPr>
          <w:rFonts w:eastAsia="Calibri"/>
        </w:rPr>
        <w:t xml:space="preserve">For </w:t>
      </w:r>
      <w:hyperlink r:id="rId16" w:history="1">
        <w:r w:rsidRPr="00C95766">
          <w:rPr>
            <w:rStyle w:val="Hyperlink"/>
            <w:rFonts w:eastAsia="Calibri"/>
          </w:rPr>
          <w:t>location and contact details</w:t>
        </w:r>
      </w:hyperlink>
      <w:r w:rsidRPr="00C95766">
        <w:rPr>
          <w:rFonts w:eastAsia="Calibri"/>
        </w:rPr>
        <w:t xml:space="preserve">, refer to </w:t>
      </w:r>
      <w:hyperlink r:id="rId17" w:history="1">
        <w:r w:rsidR="00D32ADF">
          <w:rPr>
            <w:rStyle w:val="Hyperlink"/>
            <w:rFonts w:eastAsia="Calibri"/>
          </w:rPr>
          <w:t>www.delwp.vic.gov.au</w:t>
        </w:r>
        <w:r w:rsidRPr="00C95766">
          <w:rPr>
            <w:rStyle w:val="Hyperlink"/>
            <w:rFonts w:eastAsia="Calibri"/>
          </w:rPr>
          <w:t>/property</w:t>
        </w:r>
      </w:hyperlink>
      <w:r w:rsidRPr="00C95766">
        <w:rPr>
          <w:rFonts w:eastAsia="Calibri"/>
        </w:rPr>
        <w:t>&gt;Contact us.</w:t>
      </w: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4361BE" w:rsidRDefault="004361BE"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10250D" w:rsidRDefault="0010250D" w:rsidP="005F0AD3">
      <w:pPr>
        <w:pStyle w:val="Body"/>
        <w:rPr>
          <w:rFonts w:eastAsia="Calibri"/>
        </w:rPr>
      </w:pPr>
    </w:p>
    <w:p w:rsidR="00D32ADF" w:rsidRDefault="00D32ADF" w:rsidP="007429A1">
      <w:pPr>
        <w:pStyle w:val="Body"/>
        <w:sectPr w:rsidR="00D32ADF" w:rsidSect="004361BE">
          <w:headerReference w:type="default" r:id="rId18"/>
          <w:footerReference w:type="default" r:id="rId19"/>
          <w:headerReference w:type="first" r:id="rId20"/>
          <w:footerReference w:type="first" r:id="rId21"/>
          <w:pgSz w:w="11907" w:h="16840" w:code="9"/>
          <w:pgMar w:top="2006" w:right="567" w:bottom="851" w:left="1134" w:header="284" w:footer="1020" w:gutter="0"/>
          <w:cols w:num="2" w:space="284"/>
          <w:titlePg/>
          <w:docGrid w:linePitch="360"/>
        </w:sectPr>
      </w:pPr>
    </w:p>
    <w:p w:rsidR="005F0AD3" w:rsidRPr="00E661F8" w:rsidRDefault="00FA59C1" w:rsidP="007429A1">
      <w:pPr>
        <w:pStyle w:val="Body"/>
      </w:pPr>
      <w:r>
        <w:rPr>
          <w:rFonts w:eastAsia="Calibri"/>
          <w:noProof/>
          <w:lang w:eastAsia="en-AU"/>
        </w:rPr>
        <mc:AlternateContent>
          <mc:Choice Requires="wps">
            <w:drawing>
              <wp:anchor distT="0" distB="0" distL="114300" distR="114300" simplePos="0" relativeHeight="251661824" behindDoc="0" locked="0" layoutInCell="1" allowOverlap="1" wp14:anchorId="5CE2EF61" wp14:editId="0906527B">
                <wp:simplePos x="0" y="0"/>
                <wp:positionH relativeFrom="column">
                  <wp:posOffset>-193675</wp:posOffset>
                </wp:positionH>
                <wp:positionV relativeFrom="paragraph">
                  <wp:posOffset>446751</wp:posOffset>
                </wp:positionV>
                <wp:extent cx="6683023" cy="269726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3023" cy="2697268"/>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076F48E0" wp14:editId="534B76BE">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3"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4"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A040AB" w:rsidP="00A040AB">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25"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26"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27" w:history="1">
                                    <w:r>
                                      <w:rPr>
                                        <w:rFonts w:cs="Calibri"/>
                                        <w:color w:val="000000"/>
                                        <w:sz w:val="28"/>
                                        <w:szCs w:val="28"/>
                                        <w:lang w:eastAsia="en-AU"/>
                                      </w:rPr>
                                      <w:t>www.delwp.vic.gov.au</w:t>
                                    </w:r>
                                  </w:hyperlink>
                                  <w:r>
                                    <w:rPr>
                                      <w:rFonts w:ascii="Helv" w:hAnsi="Helv" w:cs="Helv"/>
                                      <w:color w:val="000000"/>
                                      <w:sz w:val="20"/>
                                      <w:szCs w:val="20"/>
                                      <w:lang w:eastAsia="en-AU"/>
                                    </w:rPr>
                                    <w:t>.</w:t>
                                  </w:r>
                                  <w:r w:rsidR="00FA59C1" w:rsidRPr="00BE2F5F">
                                    <w:rPr>
                                      <w:sz w:val="28"/>
                                      <w:szCs w:val="28"/>
                                    </w:rPr>
                                    <w:br/>
                                  </w:r>
                                  <w:r w:rsidR="00FA59C1" w:rsidRPr="00BE2F5F">
                                    <w:rPr>
                                      <w:b/>
                                      <w:bCs/>
                                      <w:sz w:val="28"/>
                                      <w:szCs w:val="28"/>
                                    </w:rPr>
                                    <w:br/>
                                  </w:r>
                                </w:p>
                              </w:tc>
                            </w:tr>
                          </w:tbl>
                          <w:p w:rsidR="00FA59C1" w:rsidRDefault="00FA59C1" w:rsidP="00FA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5.25pt;margin-top:35.2pt;width:526.2pt;height:212.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" fillcolor="window" strokecolor="#bfbfbf" strokeweight=".5pt">
                <v:textbo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076F48E0" wp14:editId="534B76BE">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8"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9"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A040AB" w:rsidP="00A040AB">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30"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31"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32" w:history="1">
                              <w:r>
                                <w:rPr>
                                  <w:rFonts w:cs="Calibri"/>
                                  <w:color w:val="000000"/>
                                  <w:sz w:val="28"/>
                                  <w:szCs w:val="28"/>
                                  <w:lang w:eastAsia="en-AU"/>
                                </w:rPr>
                                <w:t>www.delwp.vic.gov.au</w:t>
                              </w:r>
                            </w:hyperlink>
                            <w:r>
                              <w:rPr>
                                <w:rFonts w:ascii="Helv" w:hAnsi="Helv" w:cs="Helv"/>
                                <w:color w:val="000000"/>
                                <w:sz w:val="20"/>
                                <w:szCs w:val="20"/>
                                <w:lang w:eastAsia="en-AU"/>
                              </w:rPr>
                              <w:t>.</w:t>
                            </w:r>
                            <w:r w:rsidR="00FA59C1" w:rsidRPr="00BE2F5F">
                              <w:rPr>
                                <w:sz w:val="28"/>
                                <w:szCs w:val="28"/>
                              </w:rPr>
                              <w:br/>
                            </w:r>
                            <w:r w:rsidR="00FA59C1" w:rsidRPr="00BE2F5F">
                              <w:rPr>
                                <w:b/>
                                <w:bCs/>
                                <w:sz w:val="28"/>
                                <w:szCs w:val="28"/>
                              </w:rPr>
                              <w:br/>
                            </w:r>
                          </w:p>
                        </w:tc>
                      </w:tr>
                    </w:tbl>
                    <w:p w:rsidR="00FA59C1" w:rsidRDefault="00FA59C1" w:rsidP="00FA59C1"/>
                  </w:txbxContent>
                </v:textbox>
              </v:shape>
            </w:pict>
          </mc:Fallback>
        </mc:AlternateContent>
      </w:r>
    </w:p>
    <w:sectPr w:rsidR="005F0AD3" w:rsidRPr="00E661F8" w:rsidSect="004361BE">
      <w:type w:val="continuous"/>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6A" w:rsidRDefault="00EC446A">
      <w:r>
        <w:separator/>
      </w:r>
    </w:p>
  </w:endnote>
  <w:endnote w:type="continuationSeparator" w:id="0">
    <w:p w:rsidR="00EC446A" w:rsidRDefault="00EC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8" w:rsidRPr="00644C88" w:rsidRDefault="00644C88" w:rsidP="00644C88">
    <w:pPr>
      <w:pBdr>
        <w:top w:val="dotted" w:sz="12" w:space="1" w:color="3BBEB4"/>
      </w:pBdr>
      <w:rPr>
        <w:rFonts w:ascii="Arial" w:hAnsi="Arial" w:cs="Arial"/>
        <w:sz w:val="8"/>
        <w:szCs w:val="8"/>
      </w:rPr>
    </w:pPr>
  </w:p>
  <w:p w:rsidR="002015AD" w:rsidRPr="0072604A" w:rsidRDefault="00294AD3" w:rsidP="0072604A">
    <w:pPr>
      <w:spacing w:before="480"/>
      <w:rPr>
        <w:rFonts w:cs="Calibri"/>
        <w:color w:val="636466"/>
        <w:sz w:val="26"/>
      </w:rPr>
    </w:pPr>
    <w:r w:rsidRPr="0072604A">
      <w:rPr>
        <w:rFonts w:cs="Calibri"/>
        <w:noProof/>
        <w:color w:val="636466"/>
        <w:sz w:val="54"/>
        <w:lang w:eastAsia="en-AU"/>
      </w:rPr>
      <w:drawing>
        <wp:anchor distT="0" distB="0" distL="114300" distR="114300" simplePos="0" relativeHeight="251660288" behindDoc="0" locked="0" layoutInCell="1" allowOverlap="1" wp14:anchorId="659BFC2D" wp14:editId="2C2624DD">
          <wp:simplePos x="0" y="0"/>
          <wp:positionH relativeFrom="column">
            <wp:posOffset>4873897</wp:posOffset>
          </wp:positionH>
          <wp:positionV relativeFrom="paragraph">
            <wp:posOffset>66122</wp:posOffset>
          </wp:positionV>
          <wp:extent cx="1611636" cy="470780"/>
          <wp:effectExtent l="0" t="0" r="762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4832" cy="471714"/>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BC0B9F" w:rsidP="002015AD">
    <w:pPr>
      <w:pStyle w:val="Footer"/>
    </w:pPr>
    <w:r>
      <w:rPr>
        <w:noProof/>
        <w:lang w:eastAsia="en-AU"/>
      </w:rPr>
      <w:drawing>
        <wp:anchor distT="0" distB="0" distL="114300" distR="114300" simplePos="0" relativeHeight="251658240" behindDoc="0" locked="0" layoutInCell="1" allowOverlap="1" wp14:anchorId="3070425D" wp14:editId="5DAEBC48">
          <wp:simplePos x="0" y="0"/>
          <wp:positionH relativeFrom="column">
            <wp:posOffset>4522945</wp:posOffset>
          </wp:positionH>
          <wp:positionV relativeFrom="paragraph">
            <wp:posOffset>2446</wp:posOffset>
          </wp:positionV>
          <wp:extent cx="1647943" cy="48133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7943"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6A" w:rsidRDefault="00EC446A">
      <w:r>
        <w:separator/>
      </w:r>
    </w:p>
  </w:footnote>
  <w:footnote w:type="continuationSeparator" w:id="0">
    <w:p w:rsidR="00EC446A" w:rsidRDefault="00EC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754D4634" wp14:editId="308B2876">
                <wp:simplePos x="0" y="0"/>
                <wp:positionH relativeFrom="column">
                  <wp:posOffset>-407670</wp:posOffset>
                </wp:positionH>
                <wp:positionV relativeFrom="paragraph">
                  <wp:posOffset>5715</wp:posOffset>
                </wp:positionV>
                <wp:extent cx="6867525" cy="819150"/>
                <wp:effectExtent l="0" t="0" r="9525" b="0"/>
                <wp:wrapNone/>
                <wp:docPr id="12" name="Picture 1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7E32C0" w:rsidRDefault="002D0794" w:rsidP="00875FE3">
          <w:pPr>
            <w:pStyle w:val="CertHDWhite"/>
            <w:tabs>
              <w:tab w:val="left" w:pos="7513"/>
            </w:tabs>
            <w:rPr>
              <w:sz w:val="23"/>
              <w:szCs w:val="23"/>
            </w:rPr>
          </w:pPr>
          <w:r w:rsidRPr="007E32C0">
            <w:rPr>
              <w:sz w:val="23"/>
              <w:szCs w:val="23"/>
            </w:rPr>
            <w:t xml:space="preserve">Non-survey guidelines for plans lodged under Sections 22, 32 and 35 of the </w:t>
          </w:r>
          <w:r w:rsidRPr="007E32C0">
            <w:rPr>
              <w:i/>
              <w:sz w:val="23"/>
              <w:szCs w:val="23"/>
            </w:rPr>
            <w:t>Subdivision Act 1988</w:t>
          </w:r>
          <w:r w:rsidR="007E32C0" w:rsidRPr="007E32C0">
            <w:rPr>
              <w:i/>
              <w:sz w:val="23"/>
              <w:szCs w:val="23"/>
            </w:rPr>
            <w:t xml:space="preserve"> </w:t>
          </w:r>
          <w:r w:rsidR="007E32C0">
            <w:rPr>
              <w:i/>
              <w:sz w:val="23"/>
              <w:szCs w:val="23"/>
            </w:rPr>
            <w:t xml:space="preserve">  </w:t>
          </w:r>
          <w:r w:rsidR="007E32C0" w:rsidRPr="007E32C0">
            <w:rPr>
              <w:i/>
              <w:sz w:val="23"/>
              <w:szCs w:val="23"/>
            </w:rPr>
            <w:t xml:space="preserve"> </w:t>
          </w:r>
          <w:r w:rsidR="007E32C0" w:rsidRPr="007E32C0">
            <w:rPr>
              <w:i/>
              <w:sz w:val="23"/>
              <w:szCs w:val="23"/>
            </w:rPr>
            <w:fldChar w:fldCharType="begin"/>
          </w:r>
          <w:r w:rsidR="007E32C0" w:rsidRPr="007E32C0">
            <w:rPr>
              <w:i/>
              <w:sz w:val="23"/>
              <w:szCs w:val="23"/>
            </w:rPr>
            <w:instrText xml:space="preserve"> PAGE   \* MERGEFORMAT </w:instrText>
          </w:r>
          <w:r w:rsidR="007E32C0" w:rsidRPr="007E32C0">
            <w:rPr>
              <w:i/>
              <w:sz w:val="23"/>
              <w:szCs w:val="23"/>
            </w:rPr>
            <w:fldChar w:fldCharType="separate"/>
          </w:r>
          <w:r w:rsidR="00CD05F2">
            <w:rPr>
              <w:i/>
              <w:noProof/>
              <w:sz w:val="23"/>
              <w:szCs w:val="23"/>
            </w:rPr>
            <w:t>4</w:t>
          </w:r>
          <w:r w:rsidR="007E32C0" w:rsidRPr="007E32C0">
            <w:rPr>
              <w:i/>
              <w:noProof/>
              <w:sz w:val="23"/>
              <w:szCs w:val="23"/>
            </w:rPr>
            <w:fldChar w:fldCharType="end"/>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4E60F5F2" wp14:editId="78C81F93">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5" name="Picture 1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602D6B"/>
    <w:multiLevelType w:val="hybridMultilevel"/>
    <w:tmpl w:val="AB685B38"/>
    <w:lvl w:ilvl="0" w:tplc="B4ACD9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2434FC"/>
    <w:multiLevelType w:val="hybridMultilevel"/>
    <w:tmpl w:val="ED440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8C6B31"/>
    <w:multiLevelType w:val="hybridMultilevel"/>
    <w:tmpl w:val="FC0AA8BA"/>
    <w:lvl w:ilvl="0" w:tplc="0C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C024E8"/>
    <w:multiLevelType w:val="hybridMultilevel"/>
    <w:tmpl w:val="1B6C84FC"/>
    <w:lvl w:ilvl="0" w:tplc="B4ACD9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EE2C62"/>
    <w:multiLevelType w:val="hybridMultilevel"/>
    <w:tmpl w:val="C896CC04"/>
    <w:lvl w:ilvl="0" w:tplc="0158EAF6">
      <w:start w:val="1"/>
      <w:numFmt w:val="bullet"/>
      <w:pStyle w:val="Bullet3"/>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81F32CA"/>
    <w:multiLevelType w:val="hybridMultilevel"/>
    <w:tmpl w:val="5A525A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1B129AD"/>
    <w:multiLevelType w:val="hybridMultilevel"/>
    <w:tmpl w:val="3EFCD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8964E55"/>
    <w:multiLevelType w:val="hybridMultilevel"/>
    <w:tmpl w:val="B91E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3307CA"/>
    <w:multiLevelType w:val="hybridMultilevel"/>
    <w:tmpl w:val="D1E01272"/>
    <w:lvl w:ilvl="0" w:tplc="B4ACD9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CBC458E"/>
    <w:multiLevelType w:val="hybridMultilevel"/>
    <w:tmpl w:val="C3726A06"/>
    <w:lvl w:ilvl="0" w:tplc="D11EF60A">
      <w:start w:val="1"/>
      <w:numFmt w:val="bullet"/>
      <w:lvlText w:val=""/>
      <w:lvlJc w:val="left"/>
      <w:pPr>
        <w:tabs>
          <w:tab w:val="num" w:pos="360"/>
        </w:tabs>
        <w:ind w:left="360" w:hanging="360"/>
      </w:pPr>
      <w:rPr>
        <w:rFonts w:ascii="Symbol" w:hAnsi="Symbol" w:hint="default"/>
      </w:rPr>
    </w:lvl>
    <w:lvl w:ilvl="1" w:tplc="BFE8AF90">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D18740C"/>
    <w:multiLevelType w:val="hybridMultilevel"/>
    <w:tmpl w:val="A42E1C20"/>
    <w:lvl w:ilvl="0" w:tplc="A4F847C6">
      <w:start w:val="1"/>
      <w:numFmt w:val="bullet"/>
      <w:pStyle w:val="Style1"/>
      <w:lvlText w:val=""/>
      <w:lvlJc w:val="left"/>
      <w:pPr>
        <w:ind w:left="1826" w:hanging="360"/>
      </w:pPr>
      <w:rPr>
        <w:rFonts w:ascii="Symbol" w:hAnsi="Symbol" w:hint="default"/>
      </w:rPr>
    </w:lvl>
    <w:lvl w:ilvl="1" w:tplc="0C090003" w:tentative="1">
      <w:start w:val="1"/>
      <w:numFmt w:val="bullet"/>
      <w:lvlText w:val="o"/>
      <w:lvlJc w:val="left"/>
      <w:pPr>
        <w:ind w:left="2546" w:hanging="360"/>
      </w:pPr>
      <w:rPr>
        <w:rFonts w:ascii="Courier New" w:hAnsi="Courier New" w:cs="Courier New" w:hint="default"/>
      </w:rPr>
    </w:lvl>
    <w:lvl w:ilvl="2" w:tplc="0C090005" w:tentative="1">
      <w:start w:val="1"/>
      <w:numFmt w:val="bullet"/>
      <w:lvlText w:val=""/>
      <w:lvlJc w:val="left"/>
      <w:pPr>
        <w:ind w:left="3266" w:hanging="360"/>
      </w:pPr>
      <w:rPr>
        <w:rFonts w:ascii="Wingdings" w:hAnsi="Wingdings" w:hint="default"/>
      </w:rPr>
    </w:lvl>
    <w:lvl w:ilvl="3" w:tplc="0C090001" w:tentative="1">
      <w:start w:val="1"/>
      <w:numFmt w:val="bullet"/>
      <w:lvlText w:val=""/>
      <w:lvlJc w:val="left"/>
      <w:pPr>
        <w:ind w:left="3986" w:hanging="360"/>
      </w:pPr>
      <w:rPr>
        <w:rFonts w:ascii="Symbol" w:hAnsi="Symbol" w:hint="default"/>
      </w:rPr>
    </w:lvl>
    <w:lvl w:ilvl="4" w:tplc="0C090003" w:tentative="1">
      <w:start w:val="1"/>
      <w:numFmt w:val="bullet"/>
      <w:lvlText w:val="o"/>
      <w:lvlJc w:val="left"/>
      <w:pPr>
        <w:ind w:left="4706" w:hanging="360"/>
      </w:pPr>
      <w:rPr>
        <w:rFonts w:ascii="Courier New" w:hAnsi="Courier New" w:cs="Courier New" w:hint="default"/>
      </w:rPr>
    </w:lvl>
    <w:lvl w:ilvl="5" w:tplc="0C090005" w:tentative="1">
      <w:start w:val="1"/>
      <w:numFmt w:val="bullet"/>
      <w:lvlText w:val=""/>
      <w:lvlJc w:val="left"/>
      <w:pPr>
        <w:ind w:left="5426" w:hanging="360"/>
      </w:pPr>
      <w:rPr>
        <w:rFonts w:ascii="Wingdings" w:hAnsi="Wingdings" w:hint="default"/>
      </w:rPr>
    </w:lvl>
    <w:lvl w:ilvl="6" w:tplc="0C090001" w:tentative="1">
      <w:start w:val="1"/>
      <w:numFmt w:val="bullet"/>
      <w:lvlText w:val=""/>
      <w:lvlJc w:val="left"/>
      <w:pPr>
        <w:ind w:left="6146" w:hanging="360"/>
      </w:pPr>
      <w:rPr>
        <w:rFonts w:ascii="Symbol" w:hAnsi="Symbol" w:hint="default"/>
      </w:rPr>
    </w:lvl>
    <w:lvl w:ilvl="7" w:tplc="0C090003" w:tentative="1">
      <w:start w:val="1"/>
      <w:numFmt w:val="bullet"/>
      <w:lvlText w:val="o"/>
      <w:lvlJc w:val="left"/>
      <w:pPr>
        <w:ind w:left="6866" w:hanging="360"/>
      </w:pPr>
      <w:rPr>
        <w:rFonts w:ascii="Courier New" w:hAnsi="Courier New" w:cs="Courier New" w:hint="default"/>
      </w:rPr>
    </w:lvl>
    <w:lvl w:ilvl="8" w:tplc="0C090005" w:tentative="1">
      <w:start w:val="1"/>
      <w:numFmt w:val="bullet"/>
      <w:lvlText w:val=""/>
      <w:lvlJc w:val="left"/>
      <w:pPr>
        <w:ind w:left="7586" w:hanging="360"/>
      </w:pPr>
      <w:rPr>
        <w:rFonts w:ascii="Wingdings" w:hAnsi="Wingdings" w:hint="default"/>
      </w:rPr>
    </w:lvl>
  </w:abstractNum>
  <w:abstractNum w:abstractNumId="27">
    <w:nsid w:val="71E228D2"/>
    <w:multiLevelType w:val="hybridMultilevel"/>
    <w:tmpl w:val="8DAEF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3246FF3"/>
    <w:multiLevelType w:val="hybridMultilevel"/>
    <w:tmpl w:val="274C05D4"/>
    <w:lvl w:ilvl="0" w:tplc="E330421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A722B64"/>
    <w:multiLevelType w:val="hybridMultilevel"/>
    <w:tmpl w:val="C4AA3AC0"/>
    <w:lvl w:ilvl="0" w:tplc="836C6188">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18"/>
  </w:num>
  <w:num w:numId="15">
    <w:abstractNumId w:val="25"/>
  </w:num>
  <w:num w:numId="16">
    <w:abstractNumId w:val="11"/>
  </w:num>
  <w:num w:numId="17">
    <w:abstractNumId w:val="25"/>
  </w:num>
  <w:num w:numId="18">
    <w:abstractNumId w:val="25"/>
  </w:num>
  <w:num w:numId="19">
    <w:abstractNumId w:val="25"/>
  </w:num>
  <w:num w:numId="20">
    <w:abstractNumId w:val="10"/>
  </w:num>
  <w:num w:numId="21">
    <w:abstractNumId w:val="12"/>
  </w:num>
  <w:num w:numId="22">
    <w:abstractNumId w:val="19"/>
  </w:num>
  <w:num w:numId="23">
    <w:abstractNumId w:val="30"/>
  </w:num>
  <w:num w:numId="24">
    <w:abstractNumId w:val="28"/>
  </w:num>
  <w:num w:numId="25">
    <w:abstractNumId w:val="23"/>
  </w:num>
  <w:num w:numId="26">
    <w:abstractNumId w:val="26"/>
  </w:num>
  <w:num w:numId="27">
    <w:abstractNumId w:val="20"/>
  </w:num>
  <w:num w:numId="28">
    <w:abstractNumId w:val="15"/>
  </w:num>
  <w:num w:numId="29">
    <w:abstractNumId w:val="21"/>
  </w:num>
  <w:num w:numId="30">
    <w:abstractNumId w:val="27"/>
  </w:num>
  <w:num w:numId="31">
    <w:abstractNumId w:val="22"/>
  </w:num>
  <w:num w:numId="32">
    <w:abstractNumId w:val="14"/>
  </w:num>
  <w:num w:numId="33">
    <w:abstractNumId w:val="13"/>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80DC3"/>
    <w:rsid w:val="00081567"/>
    <w:rsid w:val="0008754B"/>
    <w:rsid w:val="00091E87"/>
    <w:rsid w:val="0009699E"/>
    <w:rsid w:val="000A3A50"/>
    <w:rsid w:val="000C3259"/>
    <w:rsid w:val="000C39E4"/>
    <w:rsid w:val="0010250D"/>
    <w:rsid w:val="00111704"/>
    <w:rsid w:val="00120C40"/>
    <w:rsid w:val="00120F3F"/>
    <w:rsid w:val="00125376"/>
    <w:rsid w:val="00135491"/>
    <w:rsid w:val="00154577"/>
    <w:rsid w:val="0016111E"/>
    <w:rsid w:val="001726DA"/>
    <w:rsid w:val="00177115"/>
    <w:rsid w:val="00181FBC"/>
    <w:rsid w:val="001963AD"/>
    <w:rsid w:val="001A243B"/>
    <w:rsid w:val="001C3014"/>
    <w:rsid w:val="001E2024"/>
    <w:rsid w:val="002015AD"/>
    <w:rsid w:val="0020255B"/>
    <w:rsid w:val="00203493"/>
    <w:rsid w:val="002122D2"/>
    <w:rsid w:val="00217D52"/>
    <w:rsid w:val="00236DA4"/>
    <w:rsid w:val="00246D68"/>
    <w:rsid w:val="002526EA"/>
    <w:rsid w:val="00261DCB"/>
    <w:rsid w:val="00271B91"/>
    <w:rsid w:val="00285925"/>
    <w:rsid w:val="00285A4A"/>
    <w:rsid w:val="00294AD3"/>
    <w:rsid w:val="002B696E"/>
    <w:rsid w:val="002C12E4"/>
    <w:rsid w:val="002C4BC3"/>
    <w:rsid w:val="002C5BA2"/>
    <w:rsid w:val="002D0794"/>
    <w:rsid w:val="002D3CC8"/>
    <w:rsid w:val="002D680B"/>
    <w:rsid w:val="002E2EC1"/>
    <w:rsid w:val="00321F9E"/>
    <w:rsid w:val="00330679"/>
    <w:rsid w:val="00333242"/>
    <w:rsid w:val="003C2962"/>
    <w:rsid w:val="003E0B9A"/>
    <w:rsid w:val="003E7835"/>
    <w:rsid w:val="003F437F"/>
    <w:rsid w:val="003F5A5C"/>
    <w:rsid w:val="003F620E"/>
    <w:rsid w:val="00404EF3"/>
    <w:rsid w:val="0043348E"/>
    <w:rsid w:val="004361BE"/>
    <w:rsid w:val="00440A01"/>
    <w:rsid w:val="004426E1"/>
    <w:rsid w:val="00455AC0"/>
    <w:rsid w:val="0047538B"/>
    <w:rsid w:val="004969C1"/>
    <w:rsid w:val="004A6591"/>
    <w:rsid w:val="004E4BDF"/>
    <w:rsid w:val="004E6888"/>
    <w:rsid w:val="004F1151"/>
    <w:rsid w:val="0050769F"/>
    <w:rsid w:val="00512102"/>
    <w:rsid w:val="005229C6"/>
    <w:rsid w:val="00524C52"/>
    <w:rsid w:val="005257CB"/>
    <w:rsid w:val="005304F7"/>
    <w:rsid w:val="00534B38"/>
    <w:rsid w:val="00540762"/>
    <w:rsid w:val="00544B68"/>
    <w:rsid w:val="00557AFB"/>
    <w:rsid w:val="00557B17"/>
    <w:rsid w:val="00573E23"/>
    <w:rsid w:val="0057597B"/>
    <w:rsid w:val="00575F3A"/>
    <w:rsid w:val="00582724"/>
    <w:rsid w:val="005B3CE8"/>
    <w:rsid w:val="005D0E31"/>
    <w:rsid w:val="005F0AD3"/>
    <w:rsid w:val="00603134"/>
    <w:rsid w:val="00606451"/>
    <w:rsid w:val="00623482"/>
    <w:rsid w:val="00630E1F"/>
    <w:rsid w:val="006322A4"/>
    <w:rsid w:val="00644C88"/>
    <w:rsid w:val="00656186"/>
    <w:rsid w:val="006741C5"/>
    <w:rsid w:val="00675636"/>
    <w:rsid w:val="006A6F35"/>
    <w:rsid w:val="006B4688"/>
    <w:rsid w:val="006F53DB"/>
    <w:rsid w:val="006F707D"/>
    <w:rsid w:val="00701AB2"/>
    <w:rsid w:val="0070362A"/>
    <w:rsid w:val="00713637"/>
    <w:rsid w:val="0072604A"/>
    <w:rsid w:val="00731631"/>
    <w:rsid w:val="00735B3A"/>
    <w:rsid w:val="007429A1"/>
    <w:rsid w:val="00742A50"/>
    <w:rsid w:val="00752E36"/>
    <w:rsid w:val="00756A07"/>
    <w:rsid w:val="007702BD"/>
    <w:rsid w:val="00797365"/>
    <w:rsid w:val="007B0E45"/>
    <w:rsid w:val="007B1469"/>
    <w:rsid w:val="007B62F8"/>
    <w:rsid w:val="007B6E26"/>
    <w:rsid w:val="007E32C0"/>
    <w:rsid w:val="007E3E33"/>
    <w:rsid w:val="007F5211"/>
    <w:rsid w:val="00824C60"/>
    <w:rsid w:val="0083541B"/>
    <w:rsid w:val="00845986"/>
    <w:rsid w:val="00865A63"/>
    <w:rsid w:val="00872BAF"/>
    <w:rsid w:val="008732EE"/>
    <w:rsid w:val="00875FE3"/>
    <w:rsid w:val="008832F9"/>
    <w:rsid w:val="008A3B87"/>
    <w:rsid w:val="008A6BBA"/>
    <w:rsid w:val="008B61B5"/>
    <w:rsid w:val="008C1B1D"/>
    <w:rsid w:val="008E615F"/>
    <w:rsid w:val="008F4932"/>
    <w:rsid w:val="00920AEF"/>
    <w:rsid w:val="00926BDE"/>
    <w:rsid w:val="00927E6A"/>
    <w:rsid w:val="00943CAD"/>
    <w:rsid w:val="00953344"/>
    <w:rsid w:val="00962D3B"/>
    <w:rsid w:val="00972191"/>
    <w:rsid w:val="00981EA2"/>
    <w:rsid w:val="009872FB"/>
    <w:rsid w:val="009C3B5A"/>
    <w:rsid w:val="009E666D"/>
    <w:rsid w:val="009E66AE"/>
    <w:rsid w:val="009F2D92"/>
    <w:rsid w:val="00A0021E"/>
    <w:rsid w:val="00A02127"/>
    <w:rsid w:val="00A03F08"/>
    <w:rsid w:val="00A040AB"/>
    <w:rsid w:val="00A04614"/>
    <w:rsid w:val="00A11FE6"/>
    <w:rsid w:val="00A357C2"/>
    <w:rsid w:val="00A36BC9"/>
    <w:rsid w:val="00A37BFA"/>
    <w:rsid w:val="00A4593C"/>
    <w:rsid w:val="00A56C4D"/>
    <w:rsid w:val="00A6450E"/>
    <w:rsid w:val="00A67D11"/>
    <w:rsid w:val="00A730A4"/>
    <w:rsid w:val="00A83A7C"/>
    <w:rsid w:val="00A85593"/>
    <w:rsid w:val="00AA6401"/>
    <w:rsid w:val="00AC0ECF"/>
    <w:rsid w:val="00AF4DB4"/>
    <w:rsid w:val="00B068DA"/>
    <w:rsid w:val="00B077CF"/>
    <w:rsid w:val="00B137B4"/>
    <w:rsid w:val="00B24A07"/>
    <w:rsid w:val="00B32877"/>
    <w:rsid w:val="00B475BF"/>
    <w:rsid w:val="00B87CF6"/>
    <w:rsid w:val="00B923D2"/>
    <w:rsid w:val="00B95745"/>
    <w:rsid w:val="00BB37E4"/>
    <w:rsid w:val="00BB47F6"/>
    <w:rsid w:val="00BC0B9F"/>
    <w:rsid w:val="00BD4BC3"/>
    <w:rsid w:val="00BE0FCF"/>
    <w:rsid w:val="00BE6752"/>
    <w:rsid w:val="00BF62F9"/>
    <w:rsid w:val="00C061DD"/>
    <w:rsid w:val="00C1278F"/>
    <w:rsid w:val="00C12A10"/>
    <w:rsid w:val="00C25238"/>
    <w:rsid w:val="00C36059"/>
    <w:rsid w:val="00C403BA"/>
    <w:rsid w:val="00C46B5E"/>
    <w:rsid w:val="00C53610"/>
    <w:rsid w:val="00C6101A"/>
    <w:rsid w:val="00C651CE"/>
    <w:rsid w:val="00C66256"/>
    <w:rsid w:val="00C73267"/>
    <w:rsid w:val="00C772CA"/>
    <w:rsid w:val="00C86B17"/>
    <w:rsid w:val="00CA19B7"/>
    <w:rsid w:val="00CD05F2"/>
    <w:rsid w:val="00CD0C63"/>
    <w:rsid w:val="00CD5180"/>
    <w:rsid w:val="00CE1002"/>
    <w:rsid w:val="00CE10A1"/>
    <w:rsid w:val="00CF5E50"/>
    <w:rsid w:val="00D031F0"/>
    <w:rsid w:val="00D033C6"/>
    <w:rsid w:val="00D114E4"/>
    <w:rsid w:val="00D11924"/>
    <w:rsid w:val="00D13102"/>
    <w:rsid w:val="00D319C5"/>
    <w:rsid w:val="00D32ADF"/>
    <w:rsid w:val="00D33BE6"/>
    <w:rsid w:val="00D42526"/>
    <w:rsid w:val="00D444E8"/>
    <w:rsid w:val="00D54DE0"/>
    <w:rsid w:val="00D57FF0"/>
    <w:rsid w:val="00D634D8"/>
    <w:rsid w:val="00D80C65"/>
    <w:rsid w:val="00DA0042"/>
    <w:rsid w:val="00DC68E1"/>
    <w:rsid w:val="00DD06A2"/>
    <w:rsid w:val="00DD0AB3"/>
    <w:rsid w:val="00DD3436"/>
    <w:rsid w:val="00DE2624"/>
    <w:rsid w:val="00DE5117"/>
    <w:rsid w:val="00DF6665"/>
    <w:rsid w:val="00E07718"/>
    <w:rsid w:val="00E15BD0"/>
    <w:rsid w:val="00E2394C"/>
    <w:rsid w:val="00E30FFD"/>
    <w:rsid w:val="00E325A1"/>
    <w:rsid w:val="00E36114"/>
    <w:rsid w:val="00E464E4"/>
    <w:rsid w:val="00E51072"/>
    <w:rsid w:val="00E56D27"/>
    <w:rsid w:val="00E6278D"/>
    <w:rsid w:val="00E63FB6"/>
    <w:rsid w:val="00E661F8"/>
    <w:rsid w:val="00E8448C"/>
    <w:rsid w:val="00E9178F"/>
    <w:rsid w:val="00E95E19"/>
    <w:rsid w:val="00E9723E"/>
    <w:rsid w:val="00EA31C2"/>
    <w:rsid w:val="00EA6CA9"/>
    <w:rsid w:val="00EB2BB2"/>
    <w:rsid w:val="00EB573E"/>
    <w:rsid w:val="00EB75EA"/>
    <w:rsid w:val="00EC446A"/>
    <w:rsid w:val="00EC4DCD"/>
    <w:rsid w:val="00EC6F19"/>
    <w:rsid w:val="00ED254B"/>
    <w:rsid w:val="00F0013D"/>
    <w:rsid w:val="00F13B95"/>
    <w:rsid w:val="00F15CF7"/>
    <w:rsid w:val="00F27E16"/>
    <w:rsid w:val="00F46148"/>
    <w:rsid w:val="00F54CCE"/>
    <w:rsid w:val="00F67782"/>
    <w:rsid w:val="00F708A6"/>
    <w:rsid w:val="00F74678"/>
    <w:rsid w:val="00F83A6F"/>
    <w:rsid w:val="00F845F4"/>
    <w:rsid w:val="00F90742"/>
    <w:rsid w:val="00F910D5"/>
    <w:rsid w:val="00F930FD"/>
    <w:rsid w:val="00FA2BC8"/>
    <w:rsid w:val="00FA59C1"/>
    <w:rsid w:val="00FC01F8"/>
    <w:rsid w:val="00FC4BF9"/>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BB47F6"/>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BB47F6"/>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dtpli.vic.gov.au/property" TargetMode="External"/><Relationship Id="rId25" Type="http://schemas.openxmlformats.org/officeDocument/2006/relationships/hyperlink" Target="mailto:customer.service@delwp.vic.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tpli.vic.gov.au/property-and-land-titles/contact-us" TargetMode="External"/><Relationship Id="rId20" Type="http://schemas.openxmlformats.org/officeDocument/2006/relationships/header" Target="header2.xm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creativecommons.org/licenses/by/4.0/" TargetMode="External"/><Relationship Id="rId32" Type="http://schemas.openxmlformats.org/officeDocument/2006/relationships/hyperlink" Target="http://www.delwp.vic.gov.au"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creativecommons.org/licenses/by/4.0/" TargetMode="External"/><Relationship Id="rId28" Type="http://schemas.openxmlformats.org/officeDocument/2006/relationships/hyperlink" Target="http://creativecommons.org/licenses/by/4.0/" TargetMode="Externa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http://www.relayservice.com.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emf"/><Relationship Id="rId27" Type="http://schemas.openxmlformats.org/officeDocument/2006/relationships/hyperlink" Target="http://www.delwp.vic.gov.au" TargetMode="External"/><Relationship Id="rId30" Type="http://schemas.openxmlformats.org/officeDocument/2006/relationships/hyperlink" Target="mailto:customer.service@delwp.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B1EF-F434-45A8-A57A-49FE9D26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4</Pages>
  <Words>1025</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2016-03-30T23:03:00Z</dcterms:created>
  <dcterms:modified xsi:type="dcterms:W3CDTF">2016-04-05T23:12:00Z</dcterms:modified>
</cp:coreProperties>
</file>